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93" w:type="dxa"/>
        <w:tblLook w:val="04A0"/>
      </w:tblPr>
      <w:tblGrid>
        <w:gridCol w:w="5674"/>
        <w:gridCol w:w="2563"/>
      </w:tblGrid>
      <w:tr w:rsidR="00CC55A5" w:rsidRPr="00CC55A5" w:rsidTr="00CC55A5">
        <w:trPr>
          <w:trHeight w:val="375"/>
        </w:trPr>
        <w:tc>
          <w:tcPr>
            <w:tcW w:w="8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28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8"/>
              </w:rPr>
              <w:t>东南大学2016届本科优秀毕业生名额分配表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RANGE!A2:B29"/>
            <w:r w:rsidRPr="00CC55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院系</w:t>
            </w:r>
            <w:bookmarkEnd w:id="0"/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名额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建筑学院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机械工程学院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能源与环境学院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951E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信息科学与工程学院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土木工程学院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电子科学与工程学院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数学系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自动化学院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计算机学院、软件学院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物理系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生物科学与医学工程学院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材料科学与工程学院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人文学院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经济管理学院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电气工程学院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外国语学院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化学化工学院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交通学院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仪器科学与工程学院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艺术学院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法学院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学习科学研究中心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公共卫生学院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医学院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吴健雄学院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无锡分校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C55A5" w:rsidRPr="00CC55A5" w:rsidTr="00CC55A5">
        <w:trPr>
          <w:trHeight w:val="270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CC55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合计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A5" w:rsidRPr="00CC55A5" w:rsidRDefault="00CC55A5" w:rsidP="00CC5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C55A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191</w:t>
            </w:r>
          </w:p>
        </w:tc>
      </w:tr>
    </w:tbl>
    <w:p w:rsidR="00A70F47" w:rsidRDefault="00A70F47"/>
    <w:sectPr w:rsidR="00A70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47" w:rsidRDefault="00A70F47" w:rsidP="00CC55A5">
      <w:r>
        <w:separator/>
      </w:r>
    </w:p>
  </w:endnote>
  <w:endnote w:type="continuationSeparator" w:id="1">
    <w:p w:rsidR="00A70F47" w:rsidRDefault="00A70F47" w:rsidP="00CC5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47" w:rsidRDefault="00A70F47" w:rsidP="00CC55A5">
      <w:r>
        <w:separator/>
      </w:r>
    </w:p>
  </w:footnote>
  <w:footnote w:type="continuationSeparator" w:id="1">
    <w:p w:rsidR="00A70F47" w:rsidRDefault="00A70F47" w:rsidP="00CC5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5A5"/>
    <w:rsid w:val="00951EA6"/>
    <w:rsid w:val="00A70F47"/>
    <w:rsid w:val="00CC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5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5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2016-05-31T06:50:00Z</dcterms:created>
  <dcterms:modified xsi:type="dcterms:W3CDTF">2016-05-31T06:52:00Z</dcterms:modified>
</cp:coreProperties>
</file>